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hd w:val="clear" w:color="auto" w:fill="FFFFFF"/>
        <w:kinsoku/>
        <w:wordWrap/>
        <w:overflowPunct/>
        <w:topLinePunct w:val="0"/>
        <w:autoSpaceDE/>
        <w:autoSpaceDN/>
        <w:bidi w:val="0"/>
        <w:adjustRightInd/>
        <w:snapToGrid/>
        <w:spacing w:line="480" w:lineRule="atLeast"/>
        <w:ind w:firstLine="0" w:firstLineChars="0"/>
        <w:jc w:val="center"/>
        <w:textAlignment w:val="auto"/>
        <w:rPr>
          <w:rFonts w:hint="eastAsia" w:ascii="仿宋_GB2312" w:hAnsi="仿宋" w:eastAsia="仿宋_GB2312" w:cs="仿宋"/>
          <w:color w:val="2A2F35"/>
          <w:sz w:val="32"/>
          <w:szCs w:val="32"/>
          <w:highlight w:val="none"/>
          <w:shd w:val="clear" w:color="auto" w:fill="FFFFFF"/>
        </w:rPr>
      </w:pPr>
      <w:r>
        <w:rPr>
          <w:rFonts w:hint="eastAsia" w:cs="Times New Roman"/>
          <w:lang w:val="en-US" w:eastAsia="zh-CN"/>
        </w:rPr>
        <w:t xml:space="preserve"> </w:t>
      </w:r>
    </w:p>
    <w:p>
      <w:pPr>
        <w:pStyle w:val="7"/>
        <w:keepNext w:val="0"/>
        <w:keepLines w:val="0"/>
        <w:pageBreakBefore w:val="0"/>
        <w:widowControl/>
        <w:shd w:val="clear" w:color="auto" w:fill="FFFFFF"/>
        <w:kinsoku/>
        <w:wordWrap/>
        <w:overflowPunct/>
        <w:topLinePunct w:val="0"/>
        <w:autoSpaceDE/>
        <w:autoSpaceDN/>
        <w:bidi w:val="0"/>
        <w:adjustRightInd/>
        <w:snapToGrid/>
        <w:spacing w:line="480" w:lineRule="atLeast"/>
        <w:ind w:firstLine="0" w:firstLineChars="0"/>
        <w:jc w:val="center"/>
        <w:textAlignment w:val="auto"/>
        <w:rPr>
          <w:rFonts w:hint="eastAsia" w:ascii="仿宋_GB2312" w:hAnsi="仿宋" w:eastAsia="仿宋_GB2312" w:cs="仿宋"/>
          <w:color w:val="2A2F35"/>
          <w:sz w:val="32"/>
          <w:szCs w:val="32"/>
          <w:highlight w:val="none"/>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line="480" w:lineRule="atLeast"/>
        <w:ind w:firstLine="0" w:firstLineChars="0"/>
        <w:jc w:val="center"/>
        <w:textAlignment w:val="auto"/>
        <w:rPr>
          <w:rFonts w:hint="eastAsia" w:ascii="仿宋_GB2312" w:hAnsi="仿宋" w:eastAsia="仿宋_GB2312" w:cs="仿宋"/>
          <w:color w:val="2A2F35"/>
          <w:sz w:val="32"/>
          <w:szCs w:val="32"/>
          <w:highlight w:val="none"/>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line="480" w:lineRule="atLeast"/>
        <w:ind w:firstLine="0" w:firstLineChars="0"/>
        <w:jc w:val="center"/>
        <w:textAlignment w:val="auto"/>
        <w:rPr>
          <w:rFonts w:hint="eastAsia" w:ascii="仿宋_GB2312" w:hAnsi="仿宋" w:eastAsia="仿宋_GB2312" w:cs="仿宋"/>
          <w:color w:val="2A2F35"/>
          <w:sz w:val="32"/>
          <w:szCs w:val="32"/>
          <w:highlight w:val="none"/>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line="480" w:lineRule="atLeast"/>
        <w:ind w:firstLine="0" w:firstLineChars="0"/>
        <w:jc w:val="center"/>
        <w:textAlignment w:val="auto"/>
        <w:rPr>
          <w:rFonts w:hint="eastAsia" w:ascii="仿宋_GB2312" w:hAnsi="仿宋" w:eastAsia="仿宋_GB2312" w:cs="仿宋"/>
          <w:color w:val="2A2F35"/>
          <w:sz w:val="32"/>
          <w:szCs w:val="32"/>
          <w:highlight w:val="none"/>
          <w:shd w:val="clear" w:color="auto" w:fill="FFFFFF"/>
        </w:rPr>
      </w:pPr>
      <w:r>
        <w:rPr>
          <w:rFonts w:hint="eastAsia" w:ascii="仿宋_GB2312" w:hAnsi="仿宋" w:eastAsia="仿宋_GB2312" w:cs="仿宋"/>
          <w:color w:val="2A2F35"/>
          <w:sz w:val="32"/>
          <w:szCs w:val="32"/>
          <w:highlight w:val="none"/>
          <w:shd w:val="clear" w:color="auto" w:fill="FFFFFF"/>
        </w:rPr>
        <w:t>粤建院</w:t>
      </w:r>
      <w:r>
        <w:rPr>
          <w:rFonts w:ascii="仿宋" w:hAnsi="仿宋" w:eastAsia="仿宋" w:cs="仿宋"/>
          <w:color w:val="2A2F35"/>
          <w:sz w:val="32"/>
          <w:szCs w:val="32"/>
          <w:highlight w:val="none"/>
          <w:shd w:val="clear" w:color="auto" w:fill="FFFFFF"/>
        </w:rPr>
        <w:t>〔</w:t>
      </w:r>
      <w:r>
        <w:rPr>
          <w:rFonts w:ascii="Times New Roman" w:hAnsi="Times New Roman" w:eastAsia="微软雅黑" w:cs="Times New Roman"/>
          <w:color w:val="2A2F35"/>
          <w:sz w:val="32"/>
          <w:szCs w:val="32"/>
          <w:highlight w:val="none"/>
          <w:shd w:val="clear" w:color="auto" w:fill="FFFFFF"/>
        </w:rPr>
        <w:t>2</w:t>
      </w:r>
      <w:r>
        <w:rPr>
          <w:rFonts w:ascii="Times New Roman" w:hAnsi="Times New Roman" w:eastAsia="微软雅黑" w:cs="Times New Roman"/>
          <w:color w:val="2A2F35"/>
          <w:sz w:val="32"/>
          <w:szCs w:val="32"/>
          <w:highlight w:val="none"/>
          <w:shd w:val="clear" w:color="auto" w:fill="FFFFFF"/>
          <w:lang w:bidi="ar-SA"/>
        </w:rPr>
        <w:t>02</w:t>
      </w:r>
      <w:r>
        <w:rPr>
          <w:rFonts w:hint="eastAsia" w:ascii="Times New Roman" w:hAnsi="Times New Roman" w:eastAsia="微软雅黑" w:cs="Times New Roman"/>
          <w:color w:val="2A2F35"/>
          <w:sz w:val="32"/>
          <w:szCs w:val="32"/>
          <w:highlight w:val="none"/>
          <w:shd w:val="clear" w:color="auto" w:fill="FFFFFF"/>
          <w:lang w:val="en-US" w:eastAsia="zh-CN" w:bidi="ar-SA"/>
        </w:rPr>
        <w:t>4</w:t>
      </w:r>
      <w:r>
        <w:rPr>
          <w:rFonts w:hint="eastAsia" w:ascii="仿宋" w:hAnsi="仿宋" w:eastAsia="仿宋" w:cs="仿宋"/>
          <w:color w:val="2A2F35"/>
          <w:sz w:val="32"/>
          <w:szCs w:val="32"/>
          <w:highlight w:val="none"/>
          <w:shd w:val="clear" w:color="auto" w:fill="FFFFFF"/>
        </w:rPr>
        <w:t>〕</w:t>
      </w:r>
      <w:r>
        <w:rPr>
          <w:rFonts w:hint="eastAsia" w:ascii="Times New Roman" w:hAnsi="Times New Roman" w:eastAsia="微软雅黑" w:cs="Times New Roman"/>
          <w:color w:val="2A2F35"/>
          <w:sz w:val="32"/>
          <w:szCs w:val="32"/>
          <w:highlight w:val="none"/>
          <w:shd w:val="clear" w:color="auto" w:fill="FFFFFF"/>
          <w:lang w:val="en-US" w:eastAsia="zh-CN" w:bidi="ar-SA"/>
        </w:rPr>
        <w:t>111</w:t>
      </w:r>
      <w:r>
        <w:rPr>
          <w:rFonts w:hint="eastAsia" w:ascii="仿宋_GB2312" w:hAnsi="仿宋" w:eastAsia="仿宋_GB2312" w:cs="仿宋"/>
          <w:color w:val="2A2F35"/>
          <w:sz w:val="32"/>
          <w:szCs w:val="32"/>
          <w:highlight w:val="none"/>
          <w:shd w:val="clear" w:color="auto" w:fill="FFFFFF"/>
        </w:rPr>
        <w:t>号</w:t>
      </w:r>
    </w:p>
    <w:p>
      <w:pPr>
        <w:pStyle w:val="7"/>
        <w:keepNext w:val="0"/>
        <w:keepLines w:val="0"/>
        <w:pageBreakBefore w:val="0"/>
        <w:widowControl/>
        <w:shd w:val="clear" w:color="auto" w:fill="FFFFFF"/>
        <w:kinsoku/>
        <w:wordWrap/>
        <w:overflowPunct/>
        <w:topLinePunct w:val="0"/>
        <w:autoSpaceDE/>
        <w:autoSpaceDN/>
        <w:bidi w:val="0"/>
        <w:adjustRightInd/>
        <w:snapToGrid/>
        <w:spacing w:line="480" w:lineRule="atLeast"/>
        <w:ind w:firstLine="0" w:firstLineChars="0"/>
        <w:jc w:val="center"/>
        <w:textAlignment w:val="auto"/>
        <w:rPr>
          <w:rFonts w:hint="eastAsia" w:ascii="仿宋_GB2312" w:hAnsi="仿宋" w:eastAsia="仿宋_GB2312" w:cs="仿宋"/>
          <w:color w:val="2A2F35"/>
          <w:sz w:val="32"/>
          <w:szCs w:val="32"/>
          <w:highlight w:val="none"/>
          <w:shd w:val="clear" w:color="auto" w:fill="FFFFFF"/>
        </w:rPr>
      </w:pPr>
    </w:p>
    <w:p>
      <w:pPr>
        <w:pStyle w:val="3"/>
        <w:widowControl w:val="0"/>
        <w:snapToGrid w:val="0"/>
        <w:spacing w:before="0" w:beforeAutospacing="0" w:after="0" w:afterAutospacing="0" w:line="560" w:lineRule="exact"/>
        <w:ind w:left="0" w:leftChars="0" w:firstLine="0" w:firstLineChars="0"/>
        <w:jc w:val="center"/>
        <w:rPr>
          <w:rFonts w:hint="default"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关于印发《</w:t>
      </w:r>
      <w:r>
        <w:rPr>
          <w:rFonts w:hint="eastAsia" w:ascii="方正小标宋简体" w:hAnsi="方正小标宋简体" w:eastAsia="方正小标宋简体" w:cs="方正小标宋简体"/>
          <w:b w:val="0"/>
          <w:bCs w:val="0"/>
          <w:color w:val="000000"/>
          <w:sz w:val="44"/>
          <w:szCs w:val="44"/>
          <w:highlight w:val="none"/>
        </w:rPr>
        <w:t>广东建设职业技术学院</w:t>
      </w:r>
      <w:r>
        <w:rPr>
          <w:rFonts w:hint="eastAsia" w:ascii="方正小标宋简体" w:hAnsi="方正小标宋简体" w:eastAsia="方正小标宋简体" w:cs="方正小标宋简体"/>
          <w:b w:val="0"/>
          <w:bCs w:val="0"/>
          <w:color w:val="000000"/>
          <w:sz w:val="44"/>
          <w:szCs w:val="44"/>
          <w:highlight w:val="none"/>
          <w:lang w:val="en-US" w:eastAsia="zh-CN"/>
        </w:rPr>
        <w:t>学术委员会章程</w:t>
      </w:r>
      <w:r>
        <w:rPr>
          <w:rFonts w:hint="eastAsia" w:ascii="方正小标宋简体" w:hAnsi="方正小标宋简体" w:eastAsia="方正小标宋简体" w:cs="方正小标宋简体"/>
          <w:b w:val="0"/>
          <w:bCs w:val="0"/>
          <w:color w:val="000000"/>
          <w:sz w:val="44"/>
          <w:szCs w:val="44"/>
          <w:highlight w:val="none"/>
        </w:rPr>
        <w:t>（2024年修订）</w:t>
      </w:r>
      <w:r>
        <w:rPr>
          <w:rFonts w:hint="eastAsia" w:ascii="方正小标宋简体" w:hAnsi="方正小标宋简体" w:eastAsia="方正小标宋简体" w:cs="方正小标宋简体"/>
          <w:b w:val="0"/>
          <w:bCs w:val="0"/>
          <w:color w:val="000000"/>
          <w:sz w:val="44"/>
          <w:szCs w:val="44"/>
          <w:highlight w:val="none"/>
          <w:lang w:eastAsia="zh-CN"/>
        </w:rPr>
        <w:t>》</w:t>
      </w:r>
      <w:r>
        <w:rPr>
          <w:rFonts w:hint="eastAsia" w:ascii="方正小标宋简体" w:hAnsi="方正小标宋简体" w:eastAsia="方正小标宋简体" w:cs="方正小标宋简体"/>
          <w:b w:val="0"/>
          <w:bCs w:val="0"/>
          <w:color w:val="000000"/>
          <w:sz w:val="44"/>
          <w:szCs w:val="44"/>
          <w:highlight w:val="none"/>
          <w:lang w:val="en-US" w:eastAsia="zh-CN"/>
        </w:rPr>
        <w:t>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2A2F35"/>
          <w:spacing w:val="0"/>
          <w:sz w:val="27"/>
          <w:szCs w:val="27"/>
        </w:rPr>
      </w:pPr>
      <w:r>
        <w:rPr>
          <w:rFonts w:hint="eastAsia" w:ascii="微软雅黑" w:hAnsi="微软雅黑" w:eastAsia="微软雅黑" w:cs="微软雅黑"/>
          <w:i w:val="0"/>
          <w:iCs w:val="0"/>
          <w:caps w:val="0"/>
          <w:color w:val="2A2F35"/>
          <w:spacing w:val="0"/>
          <w:sz w:val="27"/>
          <w:szCs w:val="27"/>
          <w:shd w:val="clear" w:fill="FFFFFF"/>
        </w:rPr>
        <w:t> </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firstLine="0" w:firstLineChars="0"/>
        <w:textAlignment w:val="auto"/>
        <w:rPr>
          <w:rFonts w:hint="eastAsia" w:ascii="仿宋_GB2312" w:hAnsi="仿宋_GB2312" w:eastAsia="仿宋_GB2312" w:cs="仿宋_GB2312"/>
          <w:color w:val="2A2F35"/>
          <w:sz w:val="32"/>
          <w:szCs w:val="32"/>
          <w:highlight w:val="none"/>
          <w:shd w:val="clear" w:color="auto" w:fill="FFFFFF"/>
          <w:lang w:bidi="ar-SA"/>
        </w:rPr>
      </w:pPr>
      <w:r>
        <w:rPr>
          <w:rFonts w:hint="eastAsia" w:ascii="仿宋_GB2312" w:hAnsi="仿宋_GB2312" w:eastAsia="仿宋_GB2312" w:cs="仿宋_GB2312"/>
          <w:color w:val="2A2F35"/>
          <w:sz w:val="32"/>
          <w:szCs w:val="32"/>
          <w:highlight w:val="none"/>
          <w:shd w:val="clear" w:color="auto" w:fill="FFFFFF"/>
          <w:lang w:bidi="ar-SA"/>
        </w:rPr>
        <w:t>各部门</w:t>
      </w:r>
      <w:r>
        <w:rPr>
          <w:rFonts w:hint="eastAsia" w:ascii="仿宋_GB2312" w:hAnsi="仿宋_GB2312" w:eastAsia="仿宋_GB2312" w:cs="仿宋_GB2312"/>
          <w:color w:val="2A2F35"/>
          <w:sz w:val="32"/>
          <w:szCs w:val="32"/>
          <w:highlight w:val="none"/>
          <w:shd w:val="clear" w:color="auto" w:fill="FFFFFF"/>
          <w:lang w:eastAsia="zh-CN" w:bidi="ar-SA"/>
        </w:rPr>
        <w:t>、</w:t>
      </w:r>
      <w:r>
        <w:rPr>
          <w:rFonts w:hint="eastAsia" w:ascii="仿宋_GB2312" w:hAnsi="仿宋_GB2312" w:eastAsia="仿宋_GB2312" w:cs="仿宋_GB2312"/>
          <w:color w:val="2A2F35"/>
          <w:sz w:val="32"/>
          <w:szCs w:val="32"/>
          <w:highlight w:val="none"/>
          <w:shd w:val="clear" w:color="auto" w:fill="FFFFFF"/>
          <w:lang w:val="en-US" w:eastAsia="zh-CN" w:bidi="ar-SA"/>
        </w:rPr>
        <w:t>二级学院</w:t>
      </w:r>
      <w:r>
        <w:rPr>
          <w:rFonts w:hint="eastAsia" w:ascii="仿宋_GB2312" w:hAnsi="仿宋_GB2312" w:eastAsia="仿宋_GB2312" w:cs="仿宋_GB2312"/>
          <w:color w:val="2A2F35"/>
          <w:sz w:val="32"/>
          <w:szCs w:val="32"/>
          <w:highlight w:val="none"/>
          <w:shd w:val="clear" w:color="auto" w:fill="FFFFFF"/>
          <w:lang w:bidi="ar-SA"/>
        </w:rPr>
        <w:t>：</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2A2F35"/>
          <w:sz w:val="32"/>
          <w:szCs w:val="32"/>
          <w:highlight w:val="none"/>
          <w:shd w:val="clear" w:color="auto" w:fill="FFFFFF"/>
          <w:lang w:bidi="ar-SA"/>
        </w:rPr>
      </w:pPr>
      <w:r>
        <w:rPr>
          <w:rFonts w:hint="eastAsia" w:ascii="仿宋_GB2312" w:hAnsi="仿宋_GB2312" w:eastAsia="仿宋_GB2312" w:cs="仿宋_GB2312"/>
          <w:color w:val="2A2F35"/>
          <w:sz w:val="32"/>
          <w:szCs w:val="32"/>
          <w:highlight w:val="none"/>
          <w:shd w:val="clear" w:color="auto" w:fill="FFFFFF"/>
          <w:lang w:bidi="ar-SA"/>
        </w:rPr>
        <w:t>《广东建设职业技术学院</w:t>
      </w:r>
      <w:r>
        <w:rPr>
          <w:rFonts w:hint="eastAsia" w:ascii="仿宋_GB2312" w:hAnsi="仿宋_GB2312" w:eastAsia="仿宋_GB2312" w:cs="仿宋_GB2312"/>
          <w:color w:val="2A2F35"/>
          <w:sz w:val="32"/>
          <w:szCs w:val="32"/>
          <w:highlight w:val="none"/>
          <w:shd w:val="clear" w:color="auto" w:fill="FFFFFF"/>
          <w:lang w:val="en-US" w:eastAsia="zh-CN" w:bidi="ar-SA"/>
        </w:rPr>
        <w:t>学术委员会章程</w:t>
      </w:r>
      <w:r>
        <w:rPr>
          <w:rFonts w:hint="eastAsia" w:ascii="仿宋_GB2312" w:hAnsi="仿宋_GB2312" w:eastAsia="仿宋_GB2312" w:cs="仿宋_GB2312"/>
          <w:color w:val="2A2F35"/>
          <w:sz w:val="32"/>
          <w:szCs w:val="32"/>
          <w:highlight w:val="none"/>
          <w:shd w:val="clear" w:color="auto" w:fill="FFFFFF"/>
          <w:lang w:bidi="ar-SA"/>
        </w:rPr>
        <w:t>（2024年修订）》</w:t>
      </w:r>
      <w:r>
        <w:rPr>
          <w:rFonts w:hint="eastAsia" w:ascii="仿宋_GB2312" w:hAnsi="仿宋_GB2312" w:eastAsia="仿宋_GB2312" w:cs="仿宋_GB2312"/>
          <w:color w:val="2A2F35"/>
          <w:sz w:val="32"/>
          <w:szCs w:val="32"/>
          <w:highlight w:val="none"/>
          <w:shd w:val="clear" w:color="auto" w:fill="FFFFFF"/>
          <w:lang w:val="en-US" w:eastAsia="zh-CN" w:bidi="ar-SA"/>
        </w:rPr>
        <w:t>已</w:t>
      </w:r>
      <w:r>
        <w:rPr>
          <w:rFonts w:hint="eastAsia" w:ascii="仿宋_GB2312" w:hAnsi="仿宋_GB2312" w:eastAsia="仿宋_GB2312" w:cs="仿宋_GB2312"/>
          <w:color w:val="2A2F35"/>
          <w:sz w:val="32"/>
          <w:szCs w:val="32"/>
          <w:highlight w:val="none"/>
          <w:shd w:val="clear" w:color="auto" w:fill="FFFFFF"/>
          <w:lang w:bidi="ar-SA"/>
        </w:rPr>
        <w:t>经2024年10月11日第21次院长办公</w:t>
      </w:r>
      <w:r>
        <w:rPr>
          <w:rFonts w:hint="eastAsia" w:ascii="仿宋_GB2312" w:hAnsi="仿宋_GB2312" w:eastAsia="仿宋_GB2312" w:cs="仿宋_GB2312"/>
          <w:color w:val="2A2F35"/>
          <w:sz w:val="32"/>
          <w:szCs w:val="32"/>
          <w:highlight w:val="none"/>
          <w:shd w:val="clear" w:color="auto" w:fill="FFFFFF"/>
          <w:lang w:val="en-US" w:eastAsia="zh-CN" w:bidi="ar-SA"/>
        </w:rPr>
        <w:t>会议</w:t>
      </w:r>
      <w:r>
        <w:rPr>
          <w:rFonts w:hint="eastAsia" w:ascii="仿宋_GB2312" w:hAnsi="仿宋_GB2312" w:eastAsia="仿宋_GB2312" w:cs="仿宋_GB2312"/>
          <w:color w:val="2A2F35"/>
          <w:sz w:val="32"/>
          <w:szCs w:val="32"/>
          <w:highlight w:val="none"/>
          <w:shd w:val="clear" w:color="auto" w:fill="FFFFFF"/>
          <w:lang w:bidi="ar-SA"/>
        </w:rPr>
        <w:t>、2024年10月11日第30次党委</w:t>
      </w:r>
      <w:r>
        <w:rPr>
          <w:rFonts w:hint="eastAsia" w:ascii="仿宋_GB2312" w:hAnsi="仿宋_GB2312" w:eastAsia="仿宋_GB2312" w:cs="仿宋_GB2312"/>
          <w:color w:val="2A2F35"/>
          <w:sz w:val="32"/>
          <w:szCs w:val="32"/>
          <w:highlight w:val="none"/>
          <w:shd w:val="clear" w:color="auto" w:fill="FFFFFF"/>
          <w:lang w:val="en-US" w:eastAsia="zh-CN" w:bidi="ar-SA"/>
        </w:rPr>
        <w:t>会议</w:t>
      </w:r>
      <w:r>
        <w:rPr>
          <w:rFonts w:hint="eastAsia" w:ascii="仿宋_GB2312" w:hAnsi="仿宋_GB2312" w:eastAsia="仿宋_GB2312" w:cs="仿宋_GB2312"/>
          <w:color w:val="2A2F35"/>
          <w:sz w:val="32"/>
          <w:szCs w:val="32"/>
          <w:highlight w:val="none"/>
          <w:shd w:val="clear" w:color="auto" w:fill="FFFFFF"/>
          <w:lang w:bidi="ar-SA"/>
        </w:rPr>
        <w:t>审议通过，现印发</w:t>
      </w:r>
      <w:r>
        <w:rPr>
          <w:rFonts w:hint="eastAsia" w:ascii="仿宋_GB2312" w:hAnsi="仿宋_GB2312" w:eastAsia="仿宋_GB2312" w:cs="仿宋_GB2312"/>
          <w:color w:val="2A2F35"/>
          <w:sz w:val="32"/>
          <w:szCs w:val="32"/>
          <w:highlight w:val="none"/>
          <w:shd w:val="clear" w:color="auto" w:fill="FFFFFF"/>
          <w:lang w:val="en-US" w:eastAsia="zh-CN" w:bidi="ar-SA"/>
        </w:rPr>
        <w:t>给你们</w:t>
      </w:r>
      <w:r>
        <w:rPr>
          <w:rFonts w:hint="eastAsia" w:ascii="仿宋_GB2312" w:hAnsi="仿宋_GB2312" w:eastAsia="仿宋_GB2312" w:cs="仿宋_GB2312"/>
          <w:color w:val="2A2F35"/>
          <w:sz w:val="32"/>
          <w:szCs w:val="32"/>
          <w:highlight w:val="none"/>
          <w:shd w:val="clear" w:color="auto" w:fill="FFFFFF"/>
          <w:lang w:bidi="ar-SA"/>
        </w:rPr>
        <w:t>，请遵照执行。</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firstLine="0" w:firstLineChars="0"/>
        <w:textAlignment w:val="auto"/>
        <w:rPr>
          <w:rFonts w:hint="eastAsia" w:ascii="仿宋_GB2312" w:hAnsi="仿宋_GB2312" w:eastAsia="仿宋_GB2312" w:cs="仿宋_GB2312"/>
          <w:color w:val="2A2F35"/>
          <w:sz w:val="32"/>
          <w:szCs w:val="32"/>
          <w:highlight w:val="none"/>
          <w:shd w:val="clear" w:color="auto" w:fill="FFFFFF"/>
          <w:lang w:val="en-US" w:eastAsia="zh-CN" w:bidi="ar-SA"/>
        </w:rPr>
      </w:pPr>
      <w:r>
        <w:rPr>
          <w:rFonts w:hint="eastAsia" w:ascii="仿宋_GB2312" w:hAnsi="仿宋_GB2312" w:eastAsia="仿宋_GB2312" w:cs="仿宋_GB2312"/>
          <w:color w:val="2A2F35"/>
          <w:sz w:val="32"/>
          <w:szCs w:val="32"/>
          <w:highlight w:val="none"/>
          <w:shd w:val="clear" w:color="auto" w:fill="FFFFFF"/>
          <w:lang w:val="en-US" w:eastAsia="zh-CN" w:bidi="ar-SA"/>
        </w:rPr>
        <w:t xml:space="preserve">                             </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firstLine="4800" w:firstLineChars="1500"/>
        <w:textAlignment w:val="auto"/>
        <w:rPr>
          <w:rFonts w:hint="eastAsia" w:ascii="仿宋_GB2312" w:hAnsi="仿宋_GB2312" w:eastAsia="仿宋_GB2312" w:cs="仿宋_GB2312"/>
          <w:color w:val="2A2F35"/>
          <w:sz w:val="32"/>
          <w:szCs w:val="32"/>
          <w:highlight w:val="none"/>
          <w:shd w:val="clear" w:color="auto" w:fill="FFFFFF"/>
          <w:lang w:val="en-US" w:eastAsia="zh-CN" w:bidi="ar-SA"/>
        </w:rPr>
      </w:pP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firstLine="4800" w:firstLineChars="1500"/>
        <w:textAlignment w:val="auto"/>
        <w:rPr>
          <w:rFonts w:hint="default" w:ascii="仿宋_GB2312" w:hAnsi="仿宋_GB2312" w:eastAsia="仿宋_GB2312" w:cs="仿宋_GB2312"/>
          <w:color w:val="2A2F35"/>
          <w:sz w:val="32"/>
          <w:szCs w:val="32"/>
          <w:highlight w:val="none"/>
          <w:shd w:val="clear" w:color="auto" w:fill="FFFFFF"/>
          <w:lang w:val="en-US" w:eastAsia="zh-CN" w:bidi="ar-SA"/>
        </w:rPr>
      </w:pPr>
      <w:r>
        <w:rPr>
          <w:rFonts w:hint="eastAsia" w:ascii="仿宋_GB2312" w:hAnsi="仿宋_GB2312" w:eastAsia="仿宋_GB2312" w:cs="仿宋_GB2312"/>
          <w:color w:val="2A2F35"/>
          <w:sz w:val="32"/>
          <w:szCs w:val="32"/>
          <w:highlight w:val="none"/>
          <w:shd w:val="clear" w:color="auto" w:fill="FFFFFF"/>
          <w:lang w:val="en-US" w:eastAsia="zh-CN" w:bidi="ar-SA"/>
        </w:rPr>
        <w:t>广东建设职业技术学院</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firstLine="0" w:firstLineChars="0"/>
        <w:textAlignment w:val="auto"/>
        <w:rPr>
          <w:rFonts w:hint="eastAsia" w:ascii="仿宋_GB2312" w:hAnsi="仿宋_GB2312" w:eastAsia="仿宋_GB2312" w:cs="仿宋_GB2312"/>
          <w:color w:val="2A2F35"/>
          <w:sz w:val="32"/>
          <w:szCs w:val="32"/>
          <w:highlight w:val="none"/>
          <w:shd w:val="clear" w:color="auto" w:fill="FFFFFF"/>
          <w:lang w:bidi="ar-SA"/>
        </w:rPr>
      </w:pPr>
      <w:r>
        <w:rPr>
          <w:rFonts w:hint="eastAsia" w:ascii="仿宋_GB2312" w:hAnsi="仿宋_GB2312" w:eastAsia="仿宋_GB2312" w:cs="仿宋_GB2312"/>
          <w:color w:val="2A2F35"/>
          <w:sz w:val="32"/>
          <w:szCs w:val="32"/>
          <w:highlight w:val="none"/>
          <w:shd w:val="clear" w:color="auto" w:fill="FFFFFF"/>
          <w:lang w:bidi="ar-SA"/>
        </w:rPr>
        <w:t xml:space="preserve">                            </w:t>
      </w:r>
      <w:r>
        <w:rPr>
          <w:rFonts w:hint="eastAsia" w:ascii="仿宋_GB2312" w:hAnsi="仿宋_GB2312" w:eastAsia="仿宋_GB2312" w:cs="仿宋_GB2312"/>
          <w:color w:val="2A2F35"/>
          <w:sz w:val="32"/>
          <w:szCs w:val="32"/>
          <w:highlight w:val="none"/>
          <w:shd w:val="clear" w:color="auto" w:fill="FFFFFF"/>
          <w:lang w:val="en-US" w:eastAsia="zh-CN" w:bidi="ar-SA"/>
        </w:rPr>
        <w:t xml:space="preserve">          </w:t>
      </w:r>
      <w:r>
        <w:rPr>
          <w:rFonts w:hint="eastAsia" w:ascii="仿宋_GB2312" w:hAnsi="仿宋_GB2312" w:eastAsia="仿宋_GB2312" w:cs="仿宋_GB2312"/>
          <w:color w:val="2A2F35"/>
          <w:sz w:val="32"/>
          <w:szCs w:val="32"/>
          <w:highlight w:val="none"/>
          <w:shd w:val="clear" w:color="auto" w:fill="FFFFFF"/>
          <w:lang w:bidi="ar-SA"/>
        </w:rPr>
        <w:t>202</w:t>
      </w:r>
      <w:r>
        <w:rPr>
          <w:rFonts w:hint="eastAsia" w:ascii="仿宋_GB2312" w:hAnsi="仿宋_GB2312" w:eastAsia="仿宋_GB2312" w:cs="仿宋_GB2312"/>
          <w:color w:val="2A2F35"/>
          <w:sz w:val="32"/>
          <w:szCs w:val="32"/>
          <w:highlight w:val="none"/>
          <w:shd w:val="clear" w:color="auto" w:fill="FFFFFF"/>
          <w:lang w:val="en-US" w:eastAsia="zh-CN" w:bidi="ar-SA"/>
        </w:rPr>
        <w:t>4</w:t>
      </w:r>
      <w:r>
        <w:rPr>
          <w:rFonts w:hint="eastAsia" w:ascii="仿宋_GB2312" w:hAnsi="仿宋_GB2312" w:eastAsia="仿宋_GB2312" w:cs="仿宋_GB2312"/>
          <w:color w:val="2A2F35"/>
          <w:sz w:val="32"/>
          <w:szCs w:val="32"/>
          <w:highlight w:val="none"/>
          <w:shd w:val="clear" w:color="auto" w:fill="FFFFFF"/>
          <w:lang w:bidi="ar-SA"/>
        </w:rPr>
        <w:t>年</w:t>
      </w:r>
      <w:r>
        <w:rPr>
          <w:rFonts w:hint="eastAsia" w:ascii="仿宋_GB2312" w:hAnsi="仿宋_GB2312" w:eastAsia="仿宋_GB2312" w:cs="仿宋_GB2312"/>
          <w:color w:val="2A2F35"/>
          <w:sz w:val="32"/>
          <w:szCs w:val="32"/>
          <w:highlight w:val="none"/>
          <w:shd w:val="clear" w:color="auto" w:fill="FFFFFF"/>
          <w:lang w:val="en-US" w:eastAsia="zh-CN" w:bidi="ar-SA"/>
        </w:rPr>
        <w:t>10</w:t>
      </w:r>
      <w:r>
        <w:rPr>
          <w:rFonts w:hint="eastAsia" w:ascii="仿宋_GB2312" w:hAnsi="仿宋_GB2312" w:eastAsia="仿宋_GB2312" w:cs="仿宋_GB2312"/>
          <w:color w:val="2A2F35"/>
          <w:sz w:val="32"/>
          <w:szCs w:val="32"/>
          <w:highlight w:val="none"/>
          <w:shd w:val="clear" w:color="auto" w:fill="FFFFFF"/>
          <w:lang w:bidi="ar-SA"/>
        </w:rPr>
        <w:t>月</w:t>
      </w:r>
      <w:r>
        <w:rPr>
          <w:rFonts w:hint="eastAsia" w:ascii="仿宋_GB2312" w:hAnsi="仿宋_GB2312" w:eastAsia="仿宋_GB2312" w:cs="仿宋_GB2312"/>
          <w:color w:val="2A2F35"/>
          <w:sz w:val="32"/>
          <w:szCs w:val="32"/>
          <w:highlight w:val="none"/>
          <w:shd w:val="clear" w:color="auto" w:fill="FFFFFF"/>
          <w:lang w:val="en-US" w:eastAsia="zh-CN" w:bidi="ar-SA"/>
        </w:rPr>
        <w:t>24</w:t>
      </w:r>
      <w:r>
        <w:rPr>
          <w:rFonts w:hint="eastAsia" w:ascii="仿宋_GB2312" w:hAnsi="仿宋_GB2312" w:eastAsia="仿宋_GB2312" w:cs="仿宋_GB2312"/>
          <w:color w:val="2A2F35"/>
          <w:sz w:val="32"/>
          <w:szCs w:val="32"/>
          <w:highlight w:val="none"/>
          <w:shd w:val="clear" w:color="auto" w:fill="FFFFFF"/>
          <w:lang w:bidi="ar-SA"/>
        </w:rPr>
        <w:t>日</w:t>
      </w:r>
    </w:p>
    <w:p>
      <w:pPr>
        <w:pStyle w:val="7"/>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r>
        <w:rPr>
          <w:rFonts w:hint="eastAsia" w:ascii="仿宋_GB2312" w:hAnsi="仿宋_GB2312" w:eastAsia="仿宋_GB2312" w:cs="仿宋_GB2312"/>
          <w:sz w:val="32"/>
          <w:szCs w:val="32"/>
          <w:lang w:val="en-US" w:eastAsia="zh-CN"/>
        </w:rPr>
        <w:t>）</w:t>
      </w:r>
    </w:p>
    <w:p>
      <w:pPr>
        <w:pStyle w:val="2"/>
        <w:snapToGrid w:val="0"/>
        <w:spacing w:before="0" w:beforeAutospacing="0" w:after="0" w:afterAutospacing="0" w:line="760" w:lineRule="exact"/>
        <w:jc w:val="center"/>
        <w:rPr>
          <w:rFonts w:hint="eastAsia" w:ascii="Times New Roman" w:hAnsi="Times New Roman" w:eastAsia="方正小标宋简体" w:cs="方正小标宋简体"/>
          <w:b w:val="0"/>
          <w:bCs w:val="0"/>
          <w:sz w:val="44"/>
          <w:szCs w:val="44"/>
        </w:rPr>
        <w:sectPr>
          <w:footerReference r:id="rId3" w:type="default"/>
          <w:pgSz w:w="11906" w:h="16838"/>
          <w:pgMar w:top="2098" w:right="1474" w:bottom="1984" w:left="1587" w:header="851" w:footer="992" w:gutter="0"/>
          <w:cols w:space="425" w:num="1"/>
          <w:docGrid w:type="lines" w:linePitch="312" w:charSpace="0"/>
        </w:sectPr>
      </w:pPr>
    </w:p>
    <w:p>
      <w:pPr>
        <w:pStyle w:val="2"/>
        <w:snapToGrid w:val="0"/>
        <w:spacing w:before="0" w:beforeAutospacing="0" w:after="0" w:afterAutospacing="0" w:line="760" w:lineRule="exact"/>
        <w:jc w:val="center"/>
        <w:rPr>
          <w:rFonts w:hint="default"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rPr>
        <w:t>广东建设职业技术</w:t>
      </w:r>
      <w:r>
        <w:rPr>
          <w:rFonts w:hint="eastAsia" w:ascii="Times New Roman" w:hAnsi="Times New Roman" w:eastAsia="方正小标宋简体" w:cs="方正小标宋简体"/>
          <w:b w:val="0"/>
          <w:bCs w:val="0"/>
          <w:sz w:val="44"/>
          <w:szCs w:val="44"/>
          <w:lang w:eastAsia="zh-CN"/>
        </w:rPr>
        <w:t>学</w:t>
      </w:r>
      <w:r>
        <w:rPr>
          <w:rFonts w:hint="eastAsia" w:ascii="Times New Roman" w:hAnsi="Times New Roman" w:eastAsia="方正小标宋简体" w:cs="方正小标宋简体"/>
          <w:b w:val="0"/>
          <w:bCs w:val="0"/>
          <w:sz w:val="44"/>
          <w:szCs w:val="44"/>
          <w:lang w:val="en-US" w:eastAsia="zh-CN"/>
        </w:rPr>
        <w:t>院</w:t>
      </w:r>
    </w:p>
    <w:p>
      <w:pPr>
        <w:pStyle w:val="2"/>
        <w:snapToGrid w:val="0"/>
        <w:spacing w:before="0" w:beforeAutospacing="0" w:after="0" w:afterAutospacing="0" w:line="760" w:lineRule="exact"/>
        <w:jc w:val="center"/>
        <w:rPr>
          <w:rFonts w:hint="eastAsia" w:ascii="Times New Roman" w:hAnsi="Times New Roman" w:eastAsia="方正小标宋简体" w:cs="Times New Roman"/>
          <w:b w:val="0"/>
          <w:bCs w:val="0"/>
          <w:sz w:val="44"/>
          <w:szCs w:val="44"/>
          <w:lang w:eastAsia="zh-CN"/>
        </w:rPr>
      </w:pPr>
      <w:r>
        <w:rPr>
          <w:rFonts w:hint="eastAsia" w:ascii="Times New Roman" w:hAnsi="Times New Roman" w:eastAsia="方正小标宋简体" w:cs="方正小标宋简体"/>
          <w:b w:val="0"/>
          <w:bCs w:val="0"/>
          <w:sz w:val="44"/>
          <w:szCs w:val="44"/>
        </w:rPr>
        <w:t>学术委员会章程</w:t>
      </w:r>
      <w:r>
        <w:rPr>
          <w:rFonts w:hint="eastAsia" w:ascii="Times New Roman" w:hAnsi="Times New Roman" w:eastAsia="方正小标宋简体" w:cs="方正小标宋简体"/>
          <w:b w:val="0"/>
          <w:bCs w:val="0"/>
          <w:sz w:val="44"/>
          <w:szCs w:val="44"/>
          <w:lang w:eastAsia="zh-CN"/>
        </w:rPr>
        <w:t>（</w:t>
      </w:r>
      <w:r>
        <w:rPr>
          <w:rFonts w:hint="eastAsia" w:ascii="Times New Roman" w:hAnsi="Times New Roman" w:eastAsia="方正小标宋简体" w:cs="方正小标宋简体"/>
          <w:b w:val="0"/>
          <w:bCs w:val="0"/>
          <w:sz w:val="44"/>
          <w:szCs w:val="44"/>
          <w:lang w:val="en-US" w:eastAsia="zh-CN"/>
        </w:rPr>
        <w:t>2024年</w:t>
      </w:r>
      <w:r>
        <w:rPr>
          <w:rFonts w:hint="eastAsia" w:ascii="Times New Roman" w:hAnsi="Times New Roman" w:eastAsia="方正小标宋简体" w:cs="方正小标宋简体"/>
          <w:b w:val="0"/>
          <w:bCs w:val="0"/>
          <w:sz w:val="44"/>
          <w:szCs w:val="44"/>
          <w:lang w:eastAsia="zh-CN"/>
        </w:rPr>
        <w:t>修订）</w:t>
      </w:r>
    </w:p>
    <w:p>
      <w:pPr>
        <w:rPr>
          <w:rFonts w:ascii="仿宋_GB2312" w:eastAsia="仿宋_GB2312" w:cs="Times New Roman"/>
          <w:sz w:val="32"/>
          <w:szCs w:val="32"/>
        </w:rPr>
      </w:pPr>
    </w:p>
    <w:p>
      <w:pPr>
        <w:numPr>
          <w:ilvl w:val="0"/>
          <w:numId w:val="0"/>
        </w:num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 xml:space="preserve">第一章  </w:t>
      </w:r>
      <w:r>
        <w:rPr>
          <w:rFonts w:hint="eastAsia" w:ascii="黑体" w:hAnsi="黑体" w:eastAsia="黑体" w:cs="黑体"/>
          <w:b w:val="0"/>
          <w:bCs w:val="0"/>
          <w:sz w:val="32"/>
          <w:szCs w:val="32"/>
        </w:rPr>
        <w:t>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numPr>
          <w:ilvl w:val="0"/>
          <w:numId w:val="0"/>
        </w:numPr>
        <w:spacing w:line="560" w:lineRule="exact"/>
        <w:jc w:val="both"/>
        <w:rPr>
          <w:rFonts w:hint="eastAsia" w:ascii="黑体" w:hAnsi="黑体" w:eastAsia="黑体" w:cs="黑体"/>
          <w:b w:val="0"/>
          <w:bCs w:val="0"/>
          <w:sz w:val="32"/>
          <w:szCs w:val="32"/>
        </w:rPr>
      </w:pP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第一条  </w:t>
      </w:r>
      <w:r>
        <w:rPr>
          <w:rFonts w:hint="eastAsia" w:ascii="仿宋_GB2312" w:hAnsi="宋体" w:eastAsia="仿宋_GB2312" w:cs="仿宋_GB2312"/>
          <w:sz w:val="32"/>
          <w:szCs w:val="32"/>
        </w:rPr>
        <w:t>为促</w:t>
      </w:r>
      <w:r>
        <w:rPr>
          <w:rFonts w:hint="eastAsia" w:ascii="仿宋_GB2312" w:hAnsi="宋体" w:eastAsia="仿宋_GB2312" w:cs="仿宋_GB2312"/>
          <w:color w:val="auto"/>
          <w:sz w:val="32"/>
          <w:szCs w:val="32"/>
        </w:rPr>
        <w:t>进</w:t>
      </w:r>
      <w:r>
        <w:rPr>
          <w:rFonts w:hint="eastAsia" w:ascii="仿宋_GB2312" w:hAnsi="宋体" w:eastAsia="仿宋_GB2312" w:cs="仿宋_GB2312"/>
          <w:color w:val="auto"/>
          <w:sz w:val="32"/>
          <w:szCs w:val="32"/>
          <w:lang w:eastAsia="zh-CN"/>
        </w:rPr>
        <w:t>学校</w:t>
      </w:r>
      <w:r>
        <w:rPr>
          <w:rFonts w:hint="eastAsia" w:ascii="仿宋_GB2312" w:hAnsi="宋体" w:eastAsia="仿宋_GB2312" w:cs="仿宋_GB2312"/>
          <w:color w:val="auto"/>
          <w:sz w:val="32"/>
          <w:szCs w:val="32"/>
        </w:rPr>
        <w:t>规范和加强学术委员会建设，完善内部治理结构，保障学术委员会在教学、科研等学术事务中有效发挥作用，根据《中华人民共和国高等教育法》，参照《高等学校学术委员会规程》</w:t>
      </w:r>
      <w:r>
        <w:rPr>
          <w:rFonts w:hint="eastAsia" w:ascii="仿宋_GB2312" w:hAnsi="宋体" w:eastAsia="仿宋_GB2312" w:cs="仿宋_GB2312"/>
          <w:color w:val="auto"/>
          <w:sz w:val="32"/>
          <w:szCs w:val="32"/>
          <w:lang w:val="en-US" w:eastAsia="zh-CN"/>
        </w:rPr>
        <w:t>及《</w:t>
      </w:r>
      <w:r>
        <w:rPr>
          <w:rFonts w:hint="eastAsia" w:ascii="仿宋_GB2312" w:hAnsi="宋体" w:eastAsia="仿宋_GB2312" w:cs="仿宋_GB2312"/>
          <w:color w:val="auto"/>
          <w:sz w:val="32"/>
          <w:szCs w:val="32"/>
        </w:rPr>
        <w:t>广东建设职业技术</w:t>
      </w:r>
      <w:r>
        <w:rPr>
          <w:rFonts w:hint="eastAsia" w:ascii="仿宋_GB2312" w:hAnsi="宋体" w:eastAsia="仿宋_GB2312" w:cs="仿宋_GB2312"/>
          <w:color w:val="auto"/>
          <w:sz w:val="32"/>
          <w:szCs w:val="32"/>
          <w:lang w:eastAsia="zh-CN"/>
        </w:rPr>
        <w:t>学</w:t>
      </w:r>
      <w:r>
        <w:rPr>
          <w:rFonts w:hint="eastAsia" w:ascii="仿宋_GB2312" w:hAnsi="宋体" w:eastAsia="仿宋_GB2312" w:cs="仿宋_GB2312"/>
          <w:color w:val="auto"/>
          <w:sz w:val="32"/>
          <w:szCs w:val="32"/>
          <w:lang w:val="en-US" w:eastAsia="zh-CN"/>
        </w:rPr>
        <w:t>院</w:t>
      </w:r>
      <w:r>
        <w:rPr>
          <w:rFonts w:hint="eastAsia" w:ascii="仿宋_GB2312" w:hAnsi="宋体" w:eastAsia="仿宋_GB2312" w:cs="仿宋_GB2312"/>
          <w:color w:val="auto"/>
          <w:sz w:val="32"/>
          <w:szCs w:val="32"/>
        </w:rPr>
        <w:t>章程</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相关规定，制定本章程。</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第二条  </w:t>
      </w:r>
      <w:r>
        <w:rPr>
          <w:rFonts w:hint="eastAsia" w:ascii="仿宋_GB2312" w:hAnsi="宋体" w:eastAsia="仿宋_GB2312" w:cs="仿宋_GB2312"/>
          <w:color w:val="auto"/>
          <w:sz w:val="32"/>
          <w:szCs w:val="32"/>
          <w:lang w:eastAsia="zh-CN"/>
        </w:rPr>
        <w:t>学校在党委的领导下</w:t>
      </w:r>
      <w:r>
        <w:rPr>
          <w:rFonts w:hint="eastAsia" w:ascii="仿宋_GB2312" w:hAnsi="宋体" w:eastAsia="仿宋_GB2312" w:cs="仿宋_GB2312"/>
          <w:color w:val="auto"/>
          <w:sz w:val="32"/>
          <w:szCs w:val="32"/>
        </w:rPr>
        <w:t>依法设立学术委员会，健全以学术委员会为核心的学术管理体系与组织架构；并以学术委员会作为校内最高学术机构，统筹行使学术事务的决策、审议、评定和咨询等职权，着力促进人才培养与学术研究，追求学术理想，坚持学术自由，发扬学术民主，推动学术创新，维护学术道德。</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第三条  </w:t>
      </w:r>
      <w:r>
        <w:rPr>
          <w:rFonts w:hint="eastAsia" w:ascii="仿宋_GB2312" w:hAnsi="宋体" w:eastAsia="仿宋_GB2312" w:cs="仿宋_GB2312"/>
          <w:color w:val="auto"/>
          <w:sz w:val="32"/>
          <w:szCs w:val="32"/>
        </w:rPr>
        <w:t>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充分发挥学术委员会在专业（学科）建设、学术评价、学术发展和学风建设等事项上的重要作用，完善学术管理的体制、制度和规范，积极探索教授治学的有效途径，尊重并支持学术委员会独立行使职权，并为学术委员会正常开展工作提供必要的条件保障。</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第四条  </w:t>
      </w:r>
      <w:r>
        <w:rPr>
          <w:rFonts w:hint="eastAsia" w:ascii="仿宋_GB2312" w:hAnsi="宋体" w:eastAsia="仿宋_GB2312" w:cs="仿宋_GB2312"/>
          <w:color w:val="auto"/>
          <w:sz w:val="32"/>
          <w:szCs w:val="32"/>
        </w:rPr>
        <w:t>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学术委员会遵循学术规律，尊重学术自由、学术平等，鼓励学术创新，促进学术发展和人才培养，提高学术质量；公平、公正、公开地履行职责，保障教师、科研人员和学生在教学、科研和学术事务管理中充分发挥主体作用，促进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科学发展。</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textAlignment w:val="auto"/>
        <w:rPr>
          <w:rFonts w:ascii="仿宋_GB2312" w:hAnsi="宋体" w:eastAsia="仿宋_GB2312"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组成规则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 w:val="0"/>
          <w:bCs w:val="0"/>
          <w:color w:val="auto"/>
          <w:sz w:val="32"/>
          <w:szCs w:val="32"/>
        </w:rPr>
      </w:pP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第五条  </w:t>
      </w:r>
      <w:r>
        <w:rPr>
          <w:rFonts w:hint="eastAsia" w:ascii="仿宋_GB2312" w:hAnsi="宋体" w:eastAsia="仿宋_GB2312" w:cs="仿宋_GB2312"/>
          <w:color w:val="auto"/>
          <w:sz w:val="32"/>
          <w:szCs w:val="32"/>
        </w:rPr>
        <w:t>学术委员会由学校不同学科、专业具有副高级以上职称的教师和专业技术人员组成，并有一定比例的青年教师。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学术委员会人数与学校的学科、专业设置相匹配，并为不低于</w:t>
      </w:r>
      <w:r>
        <w:rPr>
          <w:rFonts w:hint="eastAsia" w:ascii="仿宋_GB2312" w:hAnsi="宋体" w:eastAsia="仿宋_GB2312" w:cs="仿宋_GB2312"/>
          <w:color w:val="auto"/>
          <w:sz w:val="32"/>
          <w:szCs w:val="32"/>
          <w:lang w:val="en-US" w:eastAsia="zh-CN"/>
        </w:rPr>
        <w:t>15</w:t>
      </w:r>
      <w:r>
        <w:rPr>
          <w:rFonts w:hint="eastAsia" w:ascii="仿宋_GB2312" w:hAnsi="宋体" w:eastAsia="仿宋_GB2312" w:cs="仿宋_GB2312"/>
          <w:color w:val="auto"/>
          <w:sz w:val="32"/>
          <w:szCs w:val="32"/>
        </w:rPr>
        <w:t>人的单数。其中，担任学校及党政管理机构领导职务的委员，不超过委员总人数的</w:t>
      </w:r>
      <w:r>
        <w:rPr>
          <w:rFonts w:hint="eastAsia" w:ascii="仿宋_GB2312" w:hAnsi="宋体" w:eastAsia="仿宋_GB2312" w:cs="仿宋_GB2312"/>
          <w:color w:val="auto"/>
          <w:sz w:val="32"/>
          <w:szCs w:val="32"/>
          <w:lang w:val="en-US" w:eastAsia="zh-CN"/>
        </w:rPr>
        <w:t>1/4</w:t>
      </w:r>
      <w:r>
        <w:rPr>
          <w:rFonts w:hint="eastAsia" w:ascii="仿宋_GB2312" w:hAnsi="宋体" w:eastAsia="仿宋_GB2312" w:cs="仿宋_GB2312"/>
          <w:color w:val="auto"/>
          <w:sz w:val="32"/>
          <w:szCs w:val="32"/>
        </w:rPr>
        <w:t>；不担任学校党政领导职务及二级学院（部）主要负责人的专任教师，不少于委员总人数的1/</w:t>
      </w: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可以根据需要聘请校外专家及有关方面代表，担任</w:t>
      </w:r>
      <w:bookmarkStart w:id="0" w:name="_GoBack"/>
      <w:bookmarkEnd w:id="0"/>
      <w:r>
        <w:rPr>
          <w:rFonts w:hint="eastAsia" w:ascii="仿宋_GB2312" w:hAnsi="宋体" w:eastAsia="仿宋_GB2312" w:cs="仿宋_GB2312"/>
          <w:color w:val="auto"/>
          <w:sz w:val="32"/>
          <w:szCs w:val="32"/>
        </w:rPr>
        <w:t>专门学术事项的特邀委员。</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第六条  </w:t>
      </w:r>
      <w:r>
        <w:rPr>
          <w:rFonts w:hint="eastAsia" w:ascii="仿宋_GB2312" w:hAnsi="宋体" w:eastAsia="仿宋_GB2312" w:cs="仿宋_GB2312"/>
          <w:color w:val="auto"/>
          <w:sz w:val="32"/>
          <w:szCs w:val="32"/>
        </w:rPr>
        <w:t>学术委员会委员应当具备以下条件：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（一）遵守宪法法律，学风端正、治学严谨、公道正派；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（二）学术造诣高，在学科领域或者本专业具有良好的学术声誉和公认的学术成果；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（三）关心学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建设和发展，有参与学术议事的意愿和能力，能够正常履行职责；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（四）学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规定的其他条件。</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第七条  </w:t>
      </w:r>
      <w:r>
        <w:rPr>
          <w:rFonts w:hint="eastAsia" w:ascii="仿宋_GB2312" w:hAnsi="宋体" w:eastAsia="仿宋_GB2312" w:cs="仿宋_GB2312"/>
          <w:color w:val="auto"/>
          <w:sz w:val="32"/>
          <w:szCs w:val="32"/>
        </w:rPr>
        <w:t>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依据学科、专业构成情况，保证学术委员会的组成具有广泛的专业（学科）代表性和公平性。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学术委员会委员的产生，应当经自下而上的民主推荐、公开公正的遴选等方式产生候选人，由民主选举等程序确定，充分反映基层学术组织和广大教师的意见。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在同等条件下，优先推选具有研究生学历和硕士以上学位的候选人。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特邀委员由</w:t>
      </w:r>
      <w:r>
        <w:rPr>
          <w:rFonts w:hint="eastAsia" w:ascii="仿宋_GB2312" w:hAnsi="宋体" w:eastAsia="仿宋_GB2312" w:cs="仿宋_GB2312"/>
          <w:color w:val="auto"/>
          <w:sz w:val="32"/>
          <w:szCs w:val="32"/>
          <w:lang w:eastAsia="zh-CN"/>
        </w:rPr>
        <w:t>校长</w:t>
      </w:r>
      <w:r>
        <w:rPr>
          <w:rFonts w:hint="eastAsia" w:ascii="仿宋_GB2312" w:hAnsi="宋体" w:eastAsia="仿宋_GB2312" w:cs="仿宋_GB2312"/>
          <w:color w:val="auto"/>
          <w:sz w:val="32"/>
          <w:szCs w:val="32"/>
        </w:rPr>
        <w:t>、学术委员会主任委员或者三分之一以上学术委员会委员提名，经学术委员会同意</w:t>
      </w:r>
      <w:r>
        <w:rPr>
          <w:rFonts w:hint="eastAsia" w:ascii="仿宋_GB2312" w:hAnsi="宋体" w:eastAsia="仿宋_GB2312" w:cs="仿宋_GB2312"/>
          <w:color w:val="auto"/>
          <w:sz w:val="32"/>
          <w:szCs w:val="32"/>
          <w:lang w:eastAsia="zh-CN"/>
        </w:rPr>
        <w:t>并报学</w:t>
      </w:r>
      <w:r>
        <w:rPr>
          <w:rFonts w:hint="eastAsia" w:ascii="仿宋_GB2312" w:hAnsi="宋体" w:eastAsia="仿宋_GB2312" w:cs="仿宋_GB2312"/>
          <w:color w:val="auto"/>
          <w:sz w:val="32"/>
          <w:szCs w:val="32"/>
          <w:lang w:val="en-US" w:eastAsia="zh-CN"/>
        </w:rPr>
        <w:t>校院长办公会、</w:t>
      </w:r>
      <w:r>
        <w:rPr>
          <w:rFonts w:hint="eastAsia" w:ascii="仿宋_GB2312" w:hAnsi="宋体" w:eastAsia="仿宋_GB2312" w:cs="仿宋_GB2312"/>
          <w:color w:val="auto"/>
          <w:sz w:val="32"/>
          <w:szCs w:val="32"/>
          <w:lang w:eastAsia="zh-CN"/>
        </w:rPr>
        <w:t>党委会议通过后</w:t>
      </w:r>
      <w:r>
        <w:rPr>
          <w:rFonts w:hint="eastAsia" w:ascii="仿宋_GB2312" w:hAnsi="宋体" w:eastAsia="仿宋_GB2312" w:cs="仿宋_GB2312"/>
          <w:color w:val="auto"/>
          <w:sz w:val="32"/>
          <w:szCs w:val="32"/>
        </w:rPr>
        <w:t>确定。</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第八条  </w:t>
      </w:r>
      <w:r>
        <w:rPr>
          <w:rFonts w:hint="eastAsia" w:ascii="仿宋_GB2312" w:hAnsi="宋体" w:eastAsia="仿宋_GB2312" w:cs="仿宋_GB2312"/>
          <w:color w:val="auto"/>
          <w:sz w:val="32"/>
          <w:szCs w:val="32"/>
        </w:rPr>
        <w:t>学术委员会委员由</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长聘任。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学术委员会每届四年，每次换届，连任的委员人数应不高于委员总数的三分之二。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学术委员会委员实行任期制，任期一般可为四年，可连选连任，但连任最长不超过二届。</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第九条  </w:t>
      </w:r>
      <w:r>
        <w:rPr>
          <w:rFonts w:hint="eastAsia" w:ascii="仿宋_GB2312" w:hAnsi="宋体" w:eastAsia="仿宋_GB2312" w:cs="仿宋_GB2312"/>
          <w:color w:val="auto"/>
          <w:sz w:val="32"/>
          <w:szCs w:val="32"/>
        </w:rPr>
        <w:t>学术委员会设主任委员</w:t>
      </w: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名，可根据需要设</w:t>
      </w:r>
      <w:r>
        <w:rPr>
          <w:rFonts w:ascii="仿宋_GB2312" w:hAnsi="宋体" w:eastAsia="仿宋_GB2312" w:cs="仿宋_GB2312"/>
          <w:color w:val="auto"/>
          <w:sz w:val="32"/>
          <w:szCs w:val="32"/>
        </w:rPr>
        <w:t>1-2</w:t>
      </w:r>
      <w:r>
        <w:rPr>
          <w:rFonts w:hint="eastAsia" w:ascii="仿宋_GB2312" w:hAnsi="宋体" w:eastAsia="仿宋_GB2312" w:cs="仿宋_GB2312"/>
          <w:color w:val="auto"/>
          <w:sz w:val="32"/>
          <w:szCs w:val="32"/>
        </w:rPr>
        <w:t>名副主任委员。学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主要领导不担任主任委员，主任委员可由</w:t>
      </w:r>
      <w:r>
        <w:rPr>
          <w:rFonts w:hint="eastAsia" w:ascii="仿宋_GB2312" w:hAnsi="宋体" w:eastAsia="仿宋_GB2312" w:cs="仿宋_GB2312"/>
          <w:color w:val="auto"/>
          <w:sz w:val="32"/>
          <w:szCs w:val="32"/>
          <w:lang w:eastAsia="zh-CN"/>
        </w:rPr>
        <w:t>校长</w:t>
      </w:r>
      <w:r>
        <w:rPr>
          <w:rFonts w:hint="eastAsia" w:ascii="仿宋_GB2312" w:hAnsi="宋体" w:eastAsia="仿宋_GB2312" w:cs="仿宋_GB2312"/>
          <w:color w:val="auto"/>
          <w:sz w:val="32"/>
          <w:szCs w:val="32"/>
        </w:rPr>
        <w:t>提名</w:t>
      </w:r>
      <w:r>
        <w:rPr>
          <w:rFonts w:hint="eastAsia" w:ascii="仿宋_GB2312" w:hAnsi="宋体" w:eastAsia="仿宋_GB2312" w:cs="仿宋_GB2312"/>
          <w:color w:val="auto"/>
          <w:sz w:val="32"/>
          <w:szCs w:val="32"/>
          <w:lang w:eastAsia="zh-CN"/>
        </w:rPr>
        <w:t>并经学</w:t>
      </w:r>
      <w:r>
        <w:rPr>
          <w:rFonts w:hint="eastAsia" w:ascii="仿宋_GB2312" w:hAnsi="宋体" w:eastAsia="仿宋_GB2312" w:cs="仿宋_GB2312"/>
          <w:color w:val="auto"/>
          <w:sz w:val="32"/>
          <w:szCs w:val="32"/>
          <w:lang w:val="en-US" w:eastAsia="zh-CN"/>
        </w:rPr>
        <w:t>校院长办公会、</w:t>
      </w:r>
      <w:r>
        <w:rPr>
          <w:rFonts w:hint="eastAsia" w:ascii="仿宋_GB2312" w:hAnsi="宋体" w:eastAsia="仿宋_GB2312" w:cs="仿宋_GB2312"/>
          <w:color w:val="auto"/>
          <w:sz w:val="32"/>
          <w:szCs w:val="32"/>
          <w:lang w:eastAsia="zh-CN"/>
        </w:rPr>
        <w:t>党委会议通过后</w:t>
      </w:r>
      <w:r>
        <w:rPr>
          <w:rFonts w:hint="eastAsia" w:ascii="仿宋_GB2312" w:hAnsi="宋体" w:eastAsia="仿宋_GB2312" w:cs="仿宋_GB2312"/>
          <w:color w:val="auto"/>
          <w:sz w:val="32"/>
          <w:szCs w:val="32"/>
        </w:rPr>
        <w:t>，全体委员选举产生；也可以采取直接由全体委员选举等方式产生。</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第十条  </w:t>
      </w:r>
      <w:r>
        <w:rPr>
          <w:rFonts w:hint="eastAsia" w:ascii="仿宋_GB2312" w:hAnsi="宋体" w:eastAsia="仿宋_GB2312" w:cs="仿宋_GB2312"/>
          <w:color w:val="auto"/>
          <w:sz w:val="32"/>
          <w:szCs w:val="32"/>
        </w:rPr>
        <w:t>学术委员会可以就专业（学科）建设、教师聘任、教学指导、科学研究、学术道德等事项设立若干专门委员会，具体承担相关职责和学术事务。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各专门委员会和学术分委员会根据法律规定、学术委员会的授权及各自章程开展工作，向学术委员会报告工作，接受学术委员会的指导和监督。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学术委员会设秘书处，处理学术委员会的日常事务；学术委员会的运行经费，应当纳入学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预算安排。</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第十一条  </w:t>
      </w:r>
      <w:r>
        <w:rPr>
          <w:rFonts w:hint="eastAsia" w:ascii="仿宋_GB2312" w:hAnsi="宋体" w:eastAsia="仿宋_GB2312" w:cs="仿宋_GB2312"/>
          <w:color w:val="auto"/>
          <w:sz w:val="32"/>
          <w:szCs w:val="32"/>
        </w:rPr>
        <w:t>学术委员会委员在任期内有下列情形，经学术委员会全体会议讨论决定</w:t>
      </w:r>
      <w:r>
        <w:rPr>
          <w:rFonts w:hint="eastAsia" w:ascii="仿宋_GB2312" w:hAnsi="宋体" w:eastAsia="仿宋_GB2312" w:cs="仿宋_GB2312"/>
          <w:color w:val="auto"/>
          <w:sz w:val="32"/>
          <w:szCs w:val="32"/>
          <w:lang w:eastAsia="zh-CN"/>
        </w:rPr>
        <w:t>并上报</w:t>
      </w:r>
      <w:r>
        <w:rPr>
          <w:rFonts w:hint="eastAsia" w:ascii="仿宋_GB2312" w:hAnsi="宋体" w:eastAsia="仿宋_GB2312" w:cs="仿宋_GB2312"/>
          <w:color w:val="auto"/>
          <w:sz w:val="32"/>
          <w:szCs w:val="32"/>
          <w:lang w:val="en-US" w:eastAsia="zh-CN"/>
        </w:rPr>
        <w:t>院长办公会、</w:t>
      </w:r>
      <w:r>
        <w:rPr>
          <w:rFonts w:hint="eastAsia" w:ascii="仿宋_GB2312" w:hAnsi="宋体" w:eastAsia="仿宋_GB2312" w:cs="仿宋_GB2312"/>
          <w:color w:val="auto"/>
          <w:sz w:val="32"/>
          <w:szCs w:val="32"/>
          <w:lang w:eastAsia="zh-CN"/>
        </w:rPr>
        <w:t>党委会议通过</w:t>
      </w:r>
      <w:r>
        <w:rPr>
          <w:rFonts w:hint="eastAsia" w:ascii="仿宋_GB2312" w:hAnsi="宋体" w:eastAsia="仿宋_GB2312" w:cs="仿宋_GB2312"/>
          <w:color w:val="auto"/>
          <w:sz w:val="32"/>
          <w:szCs w:val="32"/>
        </w:rPr>
        <w:t>，可免除或同意其辞去委员职务：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（一）主动申请辞去委员职务的；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（二）因身体、年龄及职务变动等原因不能履行职责的；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（三）怠于履行职责或者违反委员义务的；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（四）有违法、违反教师职业道德或者学术不端行为的；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（五）因其他原因不能或不宜担任委员职务的。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第三章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职责权限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 w:val="0"/>
          <w:bCs w:val="0"/>
          <w:color w:val="auto"/>
          <w:sz w:val="32"/>
          <w:szCs w:val="32"/>
        </w:rPr>
      </w:pP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第十二条 </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学术委员会委员享有以下权利：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（一）知悉与学术事务相关的学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各项管理制度、信息等；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（二）就学术事务向学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相关职能部门提出咨询或质询；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（三）在学术委员会会议中自由、独立地发表意见，讨论、审议和表决各项决议；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（四）对学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学术事务及学术委员会工作提出建议、实施监督；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（五）学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章程或者学术委员会章程规定的其他权利。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特邀委员根据学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的规定，享有相应权利。</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第十三条 </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学术委员会委员须履行以下义务：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（一）遵守国家宪法、法律和法规，遵守学术规范、恪守学术道德；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（二）遵守学术委员会章程，坚守学术专业判断，公正履行职责，保守工作秘密；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（三）勤勉尽职，积极参加学术委员会会议及有关活动；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（四）学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章程或者学术委员会章程规定的其他义务。</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第十四条 </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下列事务决策前，应当提交学术委员会审议，或者授权学术委员会审议并</w:t>
      </w:r>
      <w:r>
        <w:rPr>
          <w:rFonts w:hint="eastAsia" w:ascii="仿宋_GB2312" w:hAnsi="宋体" w:eastAsia="仿宋_GB2312" w:cs="仿宋_GB2312"/>
          <w:color w:val="auto"/>
          <w:sz w:val="32"/>
          <w:szCs w:val="32"/>
          <w:lang w:eastAsia="zh-CN"/>
        </w:rPr>
        <w:t>提交学</w:t>
      </w:r>
      <w:r>
        <w:rPr>
          <w:rFonts w:hint="eastAsia" w:ascii="仿宋_GB2312" w:hAnsi="宋体" w:eastAsia="仿宋_GB2312" w:cs="仿宋_GB2312"/>
          <w:color w:val="auto"/>
          <w:sz w:val="32"/>
          <w:szCs w:val="32"/>
          <w:lang w:val="en-US" w:eastAsia="zh-CN"/>
        </w:rPr>
        <w:t>校院长办公</w:t>
      </w:r>
      <w:r>
        <w:rPr>
          <w:rFonts w:hint="eastAsia" w:ascii="仿宋_GB2312" w:hAnsi="宋体" w:eastAsia="仿宋_GB2312" w:cs="仿宋_GB2312"/>
          <w:color w:val="auto"/>
          <w:sz w:val="32"/>
          <w:szCs w:val="32"/>
          <w:lang w:eastAsia="zh-CN"/>
        </w:rPr>
        <w:t>会议通过</w:t>
      </w:r>
      <w:r>
        <w:rPr>
          <w:rFonts w:hint="eastAsia" w:ascii="仿宋_GB2312" w:hAnsi="宋体" w:eastAsia="仿宋_GB2312" w:cs="仿宋_GB2312"/>
          <w:color w:val="auto"/>
          <w:sz w:val="32"/>
          <w:szCs w:val="32"/>
        </w:rPr>
        <w:t>做出决定：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u w:val="single"/>
        </w:rPr>
      </w:pPr>
      <w:r>
        <w:rPr>
          <w:rFonts w:hint="eastAsia" w:ascii="仿宋_GB2312" w:hAnsi="宋体" w:eastAsia="仿宋_GB2312" w:cs="仿宋_GB2312"/>
          <w:color w:val="auto"/>
          <w:sz w:val="32"/>
          <w:szCs w:val="32"/>
        </w:rPr>
        <w:t>（一）审议学校教育教学、科学研究、专业（学科）建设、师资队伍、对外学术交流合作等学术相关发展规划；审议与学术发展相关的重大制度和措施等；</w:t>
      </w:r>
      <w:r>
        <w:rPr>
          <w:rFonts w:ascii="仿宋_GB2312" w:hAnsi="宋体"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（二）自主设置或者申请设置专业（学科）；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（三）学术机构设置方案，交叉专业（学科）、跨专业（学科）协同创新机制的建设方案、学科资源的配置方案；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（四）专业内涵建设、教学科研成果、人才培养质量的评价标准及考核办法；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（五）学历教育的培养标准、教学计划方案、招生的标准与办法；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（六）学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教师专业技术职务聘任的学术标准与办法、教学科研成果奖励标准；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（七）审定学术评价标准、学术道德规范、学术争议处理规则或办法；</w:t>
      </w:r>
      <w:r>
        <w:rPr>
          <w:rFonts w:ascii="仿宋_GB2312" w:hAnsi="宋体"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（八）学术委员会专门委员会组织规程，学术分委员会章程；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（九）学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认为需要提交审议的其他学术事务。</w:t>
      </w: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第十五条 </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实施以下事项，涉及对学术水平做出评价的，应当由学术委员会或者其授权的学术组织进行评定：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（一）学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教学、科学研究成果和奖励，对外推荐教学、科学研究成果奖；审议学术机构设置、科研规划、科研管理制度、重大科研决策、学术团队建设、校级科研和教改项目立项与结题；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（二）高层次人才引进岗位人选、名誉（客座）教授聘任人选，推荐国内外重要学术组织的任职人选、人才选拔培养计划人选；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（三）自主设立各类学术、科研基金、科研项目以及教学、科研奖项等；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（四）需要评价学术水平的其他事项。</w:t>
      </w: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第十六条 </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做出下列决策前，应当通报学术委员会，由学术委员会提出咨询意见：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（一）制订与学术事务相关的全局性、重大发展规划、发展战略和重大决策；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（二）学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预算决算中教学、科研经费的安排和分配及使用；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（三）教学、科研重大项目的申报及资金的分配使用；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（四）开展中外合作办学、赴境外办学，对外开展重大项目合作；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（五）学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认为需要听取学术委员会意见的其他事项。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学术委员会对上述事项提出明确不同意见的，学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应当做出说明、重新协商研究或者暂缓执行。</w:t>
      </w: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第十七条 </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学术委员会按照有关规定及学</w:t>
      </w:r>
      <w:r>
        <w:rPr>
          <w:rFonts w:hint="eastAsia" w:ascii="仿宋_GB2312" w:hAnsi="宋体" w:eastAsia="仿宋_GB2312" w:cs="仿宋_GB2312"/>
          <w:color w:val="auto"/>
          <w:sz w:val="32"/>
          <w:szCs w:val="32"/>
          <w:lang w:val="en-US" w:eastAsia="zh-CN"/>
        </w:rPr>
        <w:t>校</w:t>
      </w:r>
      <w:r>
        <w:rPr>
          <w:rFonts w:hint="eastAsia" w:ascii="仿宋_GB2312" w:hAnsi="宋体" w:eastAsia="仿宋_GB2312" w:cs="仿宋_GB2312"/>
          <w:color w:val="auto"/>
          <w:sz w:val="32"/>
          <w:szCs w:val="32"/>
        </w:rPr>
        <w:t>委托，指导、组织学术道德建设，监督、规范学术行为；对学术不端行为进行调查取证，并提供处理建议或意见；裁定有关教学责任事故、教学工作考核及教学评估中的争议。受理有关学术不端行为的举报并进行调查，裁决学术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对违反学术道德的行为，学术委员会可以依职权直接撤销或者建议相关部门撤销当事人相应的学术称号、学术待遇，并</w:t>
      </w:r>
      <w:r>
        <w:rPr>
          <w:rFonts w:hint="eastAsia" w:ascii="仿宋_GB2312" w:hAnsi="宋体" w:eastAsia="仿宋_GB2312" w:cs="仿宋_GB2312"/>
          <w:color w:val="auto"/>
          <w:sz w:val="32"/>
          <w:szCs w:val="32"/>
          <w:lang w:eastAsia="zh-CN"/>
        </w:rPr>
        <w:t>上报学</w:t>
      </w:r>
      <w:r>
        <w:rPr>
          <w:rFonts w:hint="eastAsia" w:ascii="仿宋_GB2312" w:hAnsi="宋体" w:eastAsia="仿宋_GB2312" w:cs="仿宋_GB2312"/>
          <w:color w:val="auto"/>
          <w:sz w:val="32"/>
          <w:szCs w:val="32"/>
          <w:lang w:val="en-US" w:eastAsia="zh-CN"/>
        </w:rPr>
        <w:t>校院长办公会、</w:t>
      </w:r>
      <w:r>
        <w:rPr>
          <w:rFonts w:hint="eastAsia" w:ascii="仿宋_GB2312" w:hAnsi="宋体" w:eastAsia="仿宋_GB2312" w:cs="仿宋_GB2312"/>
          <w:color w:val="auto"/>
          <w:sz w:val="32"/>
          <w:szCs w:val="32"/>
          <w:lang w:eastAsia="zh-CN"/>
        </w:rPr>
        <w:t>党委会议通过，</w:t>
      </w:r>
      <w:r>
        <w:rPr>
          <w:rFonts w:hint="eastAsia" w:ascii="仿宋_GB2312" w:hAnsi="宋体" w:eastAsia="仿宋_GB2312" w:cs="仿宋_GB2312"/>
          <w:color w:val="auto"/>
          <w:sz w:val="32"/>
          <w:szCs w:val="32"/>
        </w:rPr>
        <w:t>同时向</w:t>
      </w:r>
      <w:r>
        <w:rPr>
          <w:rFonts w:hint="eastAsia" w:ascii="仿宋_GB2312" w:hAnsi="宋体" w:eastAsia="仿宋_GB2312" w:cs="仿宋_GB2312"/>
          <w:color w:val="auto"/>
          <w:sz w:val="32"/>
          <w:szCs w:val="32"/>
          <w:lang w:eastAsia="zh-CN"/>
        </w:rPr>
        <w:t>学校</w:t>
      </w:r>
      <w:r>
        <w:rPr>
          <w:rFonts w:hint="eastAsia" w:ascii="仿宋_GB2312" w:hAnsi="宋体" w:eastAsia="仿宋_GB2312" w:cs="仿宋_GB2312"/>
          <w:color w:val="auto"/>
          <w:sz w:val="32"/>
          <w:szCs w:val="32"/>
        </w:rPr>
        <w:t>、相关部门提出处理建议。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第四章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运行制度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 w:val="0"/>
          <w:bCs w:val="0"/>
          <w:color w:val="auto"/>
          <w:sz w:val="32"/>
          <w:szCs w:val="32"/>
        </w:rPr>
      </w:pP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第十八条 </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学术委员会实行例会制度，每学期至少召开</w:t>
      </w: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次全体会议。根据工作需要，经学术委员会主任委员或者</w:t>
      </w:r>
      <w:r>
        <w:rPr>
          <w:rFonts w:hint="eastAsia" w:ascii="仿宋_GB2312" w:hAnsi="宋体" w:eastAsia="仿宋_GB2312" w:cs="仿宋_GB2312"/>
          <w:color w:val="auto"/>
          <w:sz w:val="32"/>
          <w:szCs w:val="32"/>
          <w:lang w:eastAsia="zh-CN"/>
        </w:rPr>
        <w:t>校长</w:t>
      </w:r>
      <w:r>
        <w:rPr>
          <w:rFonts w:hint="eastAsia" w:ascii="仿宋_GB2312" w:hAnsi="宋体" w:eastAsia="仿宋_GB2312" w:cs="仿宋_GB2312"/>
          <w:color w:val="auto"/>
          <w:sz w:val="32"/>
          <w:szCs w:val="32"/>
        </w:rPr>
        <w:t>提议，或者三分之一以上委员联名提议，</w:t>
      </w:r>
      <w:r>
        <w:rPr>
          <w:rFonts w:hint="eastAsia" w:ascii="仿宋_GB2312" w:hAnsi="宋体" w:eastAsia="仿宋_GB2312" w:cs="仿宋_GB2312"/>
          <w:color w:val="auto"/>
          <w:sz w:val="32"/>
          <w:szCs w:val="32"/>
          <w:lang w:eastAsia="zh-CN"/>
        </w:rPr>
        <w:t>并经学校</w:t>
      </w:r>
      <w:r>
        <w:rPr>
          <w:rFonts w:hint="eastAsia" w:ascii="仿宋_GB2312" w:hAnsi="宋体" w:eastAsia="仿宋_GB2312" w:cs="仿宋_GB2312"/>
          <w:color w:val="auto"/>
          <w:sz w:val="32"/>
          <w:szCs w:val="32"/>
          <w:lang w:val="en-US" w:eastAsia="zh-CN"/>
        </w:rPr>
        <w:t>院长办公</w:t>
      </w:r>
      <w:r>
        <w:rPr>
          <w:rFonts w:hint="eastAsia" w:ascii="仿宋_GB2312" w:hAnsi="宋体" w:eastAsia="仿宋_GB2312" w:cs="仿宋_GB2312"/>
          <w:color w:val="auto"/>
          <w:sz w:val="32"/>
          <w:szCs w:val="32"/>
          <w:lang w:eastAsia="zh-CN"/>
        </w:rPr>
        <w:t>会议通过</w:t>
      </w:r>
      <w:r>
        <w:rPr>
          <w:rFonts w:hint="eastAsia" w:ascii="仿宋_GB2312" w:hAnsi="宋体" w:eastAsia="仿宋_GB2312" w:cs="仿宋_GB2312"/>
          <w:color w:val="auto"/>
          <w:sz w:val="32"/>
          <w:szCs w:val="32"/>
        </w:rPr>
        <w:t>可以临时召开学术委员会全体会议，商讨、决定相关事项。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学术委员会设秘书长一名，由学术委员会主任委员提名，经学术委员会表决通过产生。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学术委员会可以授权专门委员会处理专项学术事务，履行相应职责。</w:t>
      </w: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第十九条 </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学术委员会主任委员负责召集和主持学术委员会会议，必要时，可以委托副主任委员召集和主持会议。学术委员会委员全体会议应有三分之二以上委员出席方可举行。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学术委员会全体会议应当提前确定议题并通知与会委员。经与会三分之一以上委员同意，可以临时增加议题。</w:t>
      </w: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第二十条 </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学术委员会议事决策实行少数服从多数的原则，重大事项应当以与会委员的三分之二（且超过委员总数的二分之一）以上同意，</w:t>
      </w:r>
      <w:r>
        <w:rPr>
          <w:rFonts w:hint="eastAsia" w:ascii="仿宋_GB2312" w:hAnsi="宋体" w:eastAsia="仿宋_GB2312" w:cs="仿宋_GB2312"/>
          <w:color w:val="auto"/>
          <w:sz w:val="32"/>
          <w:szCs w:val="32"/>
          <w:lang w:eastAsia="zh-CN"/>
        </w:rPr>
        <w:t>并报学校</w:t>
      </w:r>
      <w:r>
        <w:rPr>
          <w:rFonts w:hint="eastAsia" w:ascii="仿宋_GB2312" w:hAnsi="宋体" w:eastAsia="仿宋_GB2312" w:cs="仿宋_GB2312"/>
          <w:color w:val="auto"/>
          <w:sz w:val="32"/>
          <w:szCs w:val="32"/>
          <w:lang w:val="en-US" w:eastAsia="zh-CN"/>
        </w:rPr>
        <w:t>院长办公</w:t>
      </w:r>
      <w:r>
        <w:rPr>
          <w:rFonts w:hint="eastAsia" w:ascii="仿宋_GB2312" w:hAnsi="宋体" w:eastAsia="仿宋_GB2312" w:cs="仿宋_GB2312"/>
          <w:color w:val="auto"/>
          <w:sz w:val="32"/>
          <w:szCs w:val="32"/>
          <w:lang w:eastAsia="zh-CN"/>
        </w:rPr>
        <w:t>会议同意，</w:t>
      </w:r>
      <w:r>
        <w:rPr>
          <w:rFonts w:hint="eastAsia" w:ascii="仿宋_GB2312" w:hAnsi="宋体" w:eastAsia="仿宋_GB2312" w:cs="仿宋_GB2312"/>
          <w:color w:val="auto"/>
          <w:sz w:val="32"/>
          <w:szCs w:val="32"/>
        </w:rPr>
        <w:t>方可通过。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学术委员会会议审议决定或者评定的事项，一般应当以无记名投票方式做出决定；也可以根据事项性质，采取实名投票方式。</w:t>
      </w:r>
      <w:r>
        <w:rPr>
          <w:rFonts w:ascii="仿宋_GB2312" w:hAnsi="宋体"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学术委员会审议或者评定的事项与委员本人及其配偶和直系亲属有关，或者具有利益关联的，相关委员应当回避。</w:t>
      </w:r>
    </w:p>
    <w:p>
      <w:pPr>
        <w:keepNext w:val="0"/>
        <w:keepLines w:val="0"/>
        <w:pageBreakBefore w:val="0"/>
        <w:widowControl w:val="0"/>
        <w:numPr>
          <w:ilvl w:val="0"/>
          <w:numId w:val="0"/>
        </w:numPr>
        <w:tabs>
          <w:tab w:val="left" w:pos="1843"/>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第二十一条 </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学术委员会会议可以根据议题，设立旁听席，允许相关</w:t>
      </w:r>
      <w:r>
        <w:rPr>
          <w:rFonts w:hint="eastAsia" w:ascii="仿宋_GB2312" w:hAnsi="宋体" w:eastAsia="仿宋_GB2312" w:cs="仿宋_GB2312"/>
          <w:color w:val="auto"/>
          <w:sz w:val="32"/>
          <w:szCs w:val="32"/>
          <w:lang w:eastAsia="zh-CN"/>
        </w:rPr>
        <w:t>学校</w:t>
      </w:r>
      <w:r>
        <w:rPr>
          <w:rFonts w:hint="eastAsia" w:ascii="仿宋_GB2312" w:hAnsi="宋体" w:eastAsia="仿宋_GB2312" w:cs="仿宋_GB2312"/>
          <w:color w:val="auto"/>
          <w:sz w:val="32"/>
          <w:szCs w:val="32"/>
        </w:rPr>
        <w:t>职能部门、教师及学生代表列席旁听。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学术委员会做出的决定应当予以公示，并设置异议期。在异议期内如有异议，经三分之一以上委员同意，可召开全体会议复议。经复议的决定</w:t>
      </w:r>
      <w:r>
        <w:rPr>
          <w:rFonts w:hint="eastAsia" w:ascii="仿宋_GB2312" w:hAnsi="宋体" w:eastAsia="仿宋_GB2312" w:cs="仿宋_GB2312"/>
          <w:color w:val="auto"/>
          <w:sz w:val="32"/>
          <w:szCs w:val="32"/>
          <w:lang w:eastAsia="zh-CN"/>
        </w:rPr>
        <w:t>并报学校</w:t>
      </w:r>
      <w:r>
        <w:rPr>
          <w:rFonts w:hint="eastAsia" w:ascii="仿宋_GB2312" w:hAnsi="宋体" w:eastAsia="仿宋_GB2312" w:cs="仿宋_GB2312"/>
          <w:color w:val="auto"/>
          <w:sz w:val="32"/>
          <w:szCs w:val="32"/>
          <w:lang w:val="en-US" w:eastAsia="zh-CN"/>
        </w:rPr>
        <w:t>院长办公</w:t>
      </w:r>
      <w:r>
        <w:rPr>
          <w:rFonts w:hint="eastAsia" w:ascii="仿宋_GB2312" w:hAnsi="宋体" w:eastAsia="仿宋_GB2312" w:cs="仿宋_GB2312"/>
          <w:color w:val="auto"/>
          <w:sz w:val="32"/>
          <w:szCs w:val="32"/>
          <w:lang w:eastAsia="zh-CN"/>
        </w:rPr>
        <w:t>会议通过</w:t>
      </w:r>
      <w:r>
        <w:rPr>
          <w:rFonts w:hint="eastAsia" w:ascii="仿宋_GB2312" w:hAnsi="宋体" w:eastAsia="仿宋_GB2312" w:cs="仿宋_GB2312"/>
          <w:color w:val="auto"/>
          <w:sz w:val="32"/>
          <w:szCs w:val="32"/>
        </w:rPr>
        <w:t>为终局结论。</w:t>
      </w: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rPr>
      </w:pPr>
      <w:r>
        <w:rPr>
          <w:rFonts w:hint="eastAsia" w:ascii="黑体" w:hAnsi="黑体" w:eastAsia="黑体" w:cs="黑体"/>
          <w:b w:val="0"/>
          <w:bCs w:val="0"/>
          <w:color w:val="auto"/>
          <w:kern w:val="2"/>
          <w:sz w:val="32"/>
          <w:szCs w:val="32"/>
          <w:lang w:val="en-US" w:eastAsia="zh-CN" w:bidi="ar-SA"/>
        </w:rPr>
        <w:t xml:space="preserve">第二十二条 </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学术委员会应当建立年度报告制度，每年度对</w:t>
      </w:r>
      <w:r>
        <w:rPr>
          <w:rFonts w:hint="eastAsia" w:ascii="仿宋_GB2312" w:hAnsi="宋体" w:eastAsia="仿宋_GB2312" w:cs="仿宋_GB2312"/>
          <w:color w:val="auto"/>
          <w:sz w:val="32"/>
          <w:szCs w:val="32"/>
          <w:lang w:eastAsia="zh-CN"/>
        </w:rPr>
        <w:t>学校</w:t>
      </w:r>
      <w:r>
        <w:rPr>
          <w:rFonts w:hint="eastAsia" w:ascii="仿宋_GB2312" w:hAnsi="宋体" w:eastAsia="仿宋_GB2312" w:cs="仿宋_GB2312"/>
          <w:color w:val="auto"/>
          <w:sz w:val="32"/>
          <w:szCs w:val="32"/>
        </w:rPr>
        <w:t>整体的学术水平、学科发展、人才培养质量等进行全面评价，提出意见、建议；对学术委员会的运行及履行职责的情况进行总结。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学术委员会年度报告提交教职工代表大会审议，有关意见、建议的采纳情况，</w:t>
      </w:r>
      <w:r>
        <w:rPr>
          <w:rFonts w:hint="eastAsia" w:ascii="仿宋_GB2312" w:hAnsi="宋体" w:eastAsia="仿宋_GB2312" w:cs="仿宋_GB2312"/>
          <w:color w:val="auto"/>
          <w:sz w:val="32"/>
          <w:szCs w:val="32"/>
          <w:lang w:eastAsia="zh-CN"/>
        </w:rPr>
        <w:t>校长</w:t>
      </w:r>
      <w:r>
        <w:rPr>
          <w:rFonts w:hint="eastAsia" w:ascii="仿宋_GB2312" w:hAnsi="宋体" w:eastAsia="仿宋_GB2312" w:cs="仿宋_GB2312"/>
          <w:color w:val="auto"/>
          <w:sz w:val="32"/>
          <w:szCs w:val="32"/>
        </w:rPr>
        <w:t>应当做出说明。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 xml:space="preserve">第五章  </w:t>
      </w:r>
      <w:r>
        <w:rPr>
          <w:rFonts w:hint="eastAsia" w:ascii="黑体" w:hAnsi="黑体" w:eastAsia="黑体" w:cs="黑体"/>
          <w:b w:val="0"/>
          <w:bCs w:val="0"/>
          <w:color w:val="auto"/>
          <w:sz w:val="32"/>
          <w:szCs w:val="32"/>
        </w:rPr>
        <w:t>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 w:val="0"/>
          <w:bCs w:val="0"/>
          <w:color w:val="auto"/>
          <w:sz w:val="32"/>
          <w:szCs w:val="32"/>
        </w:rPr>
      </w:pP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color w:val="auto"/>
          <w:lang w:val="en-US" w:eastAsia="zh-CN"/>
        </w:rPr>
      </w:pPr>
      <w:r>
        <w:rPr>
          <w:rFonts w:hint="eastAsia" w:ascii="黑体" w:hAnsi="黑体" w:eastAsia="黑体" w:cs="黑体"/>
          <w:color w:val="auto"/>
          <w:sz w:val="32"/>
          <w:szCs w:val="32"/>
          <w:lang w:val="en-US" w:eastAsia="zh-CN"/>
        </w:rPr>
        <w:t>第二十三条</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本章程自公布之日起施行。</w:t>
      </w:r>
      <w:r>
        <w:rPr>
          <w:rFonts w:hint="eastAsia" w:ascii="仿宋_GB2312" w:hAnsi="宋体" w:eastAsia="仿宋_GB2312" w:cs="仿宋_GB2312"/>
          <w:color w:val="auto"/>
          <w:sz w:val="32"/>
          <w:szCs w:val="32"/>
          <w:lang w:val="en-US" w:eastAsia="zh-CN"/>
        </w:rPr>
        <w:t>原《广东建设职业技术学院学术委员会章程》（粤建院〔2016〕66号）同时废止。</w:t>
      </w: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3DEA07-0F66-4B0C-BB76-AF336E4843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9A568691-B12B-4D3B-9E45-33FB8CB41BF1}"/>
  </w:font>
  <w:font w:name="仿宋_GB2312">
    <w:panose1 w:val="02010609030101010101"/>
    <w:charset w:val="86"/>
    <w:family w:val="modern"/>
    <w:pitch w:val="default"/>
    <w:sig w:usb0="00000001" w:usb1="080E0000" w:usb2="00000000" w:usb3="00000000" w:csb0="00040000" w:csb1="00000000"/>
    <w:embedRegular r:id="rId3" w:fontKey="{916EA47E-686B-45F1-A8C7-0CFB85DF21EA}"/>
  </w:font>
  <w:font w:name="仿宋">
    <w:panose1 w:val="02010609060101010101"/>
    <w:charset w:val="86"/>
    <w:family w:val="auto"/>
    <w:pitch w:val="default"/>
    <w:sig w:usb0="800002BF" w:usb1="38CF7CFA" w:usb2="00000016" w:usb3="00000000" w:csb0="00040001" w:csb1="00000000"/>
    <w:embedRegular r:id="rId4" w:fontKey="{9D2E3775-6217-4B1D-B609-5462D3F19AC4}"/>
  </w:font>
  <w:font w:name="微软雅黑">
    <w:panose1 w:val="020B0503020204020204"/>
    <w:charset w:val="86"/>
    <w:family w:val="auto"/>
    <w:pitch w:val="default"/>
    <w:sig w:usb0="80000287" w:usb1="2ACF3C50" w:usb2="00000016" w:usb3="00000000" w:csb0="0004001F" w:csb1="00000000"/>
    <w:embedRegular r:id="rId5" w:fontKey="{6C4729A2-C174-43D1-BD56-E40B72957674}"/>
  </w:font>
  <w:font w:name="方正小标宋简体">
    <w:panose1 w:val="03000509000000000000"/>
    <w:charset w:val="86"/>
    <w:family w:val="script"/>
    <w:pitch w:val="default"/>
    <w:sig w:usb0="00000001" w:usb1="080E0000" w:usb2="00000000" w:usb3="00000000" w:csb0="00040000" w:csb1="00000000"/>
    <w:embedRegular r:id="rId6" w:fontKey="{2DFB6283-328B-443E-B4C8-C916653352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p>
                </w:txbxContent>
              </v:textbox>
            </v:shape>
          </w:pict>
        </mc:Fallback>
      </mc:AlternateContent>
    </w:r>
    <w:r>
      <w:rPr>
        <w:rFonts w:hint="eastAsia"/>
        <w:lang w:eastAsia="zh-CN"/>
      </w:rPr>
      <w:tab/>
    </w:r>
    <w:r>
      <w:rPr>
        <w:rFonts w:hint="eastAsia"/>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pStyle w:val="5"/>
      <w:tabs>
        <w:tab w:val="right" w:pos="8845"/>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sz w:val="28"/>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p>
                </w:txbxContent>
              </v:textbox>
            </v:shape>
          </w:pict>
        </mc:Fallback>
      </mc:AlternateContent>
    </w:r>
    <w:r>
      <w:rPr>
        <w:rFonts w:hint="eastAsia"/>
        <w:lang w:eastAsia="zh-CN"/>
      </w:rPr>
      <w:tab/>
    </w:r>
    <w:r>
      <w:rPr>
        <w:rFonts w:hint="eastAsia"/>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pStyle w:val="5"/>
      <w:tabs>
        <w:tab w:val="right" w:pos="8845"/>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ZjYzOTkwNjlmYWRjMmYwYzI4MWVjZjViZTAzMzEifQ=="/>
  </w:docVars>
  <w:rsids>
    <w:rsidRoot w:val="0018347E"/>
    <w:rsid w:val="000556F3"/>
    <w:rsid w:val="00095174"/>
    <w:rsid w:val="00137788"/>
    <w:rsid w:val="0018347E"/>
    <w:rsid w:val="001E2461"/>
    <w:rsid w:val="001F6D39"/>
    <w:rsid w:val="002757B4"/>
    <w:rsid w:val="00311182"/>
    <w:rsid w:val="003B1F14"/>
    <w:rsid w:val="004466EE"/>
    <w:rsid w:val="005E08EB"/>
    <w:rsid w:val="00655228"/>
    <w:rsid w:val="006C716C"/>
    <w:rsid w:val="006D2124"/>
    <w:rsid w:val="006F2D82"/>
    <w:rsid w:val="00765795"/>
    <w:rsid w:val="0078756D"/>
    <w:rsid w:val="007C03AE"/>
    <w:rsid w:val="00810370"/>
    <w:rsid w:val="00896AB8"/>
    <w:rsid w:val="009406C4"/>
    <w:rsid w:val="00950292"/>
    <w:rsid w:val="009560F7"/>
    <w:rsid w:val="009A0898"/>
    <w:rsid w:val="00A464D6"/>
    <w:rsid w:val="00A62ED7"/>
    <w:rsid w:val="00A9336D"/>
    <w:rsid w:val="00AD51F3"/>
    <w:rsid w:val="00AE00A7"/>
    <w:rsid w:val="00B17C09"/>
    <w:rsid w:val="00B34CE4"/>
    <w:rsid w:val="00BC3519"/>
    <w:rsid w:val="00CA68CE"/>
    <w:rsid w:val="00CE4866"/>
    <w:rsid w:val="00DA6A9B"/>
    <w:rsid w:val="00DB2C9F"/>
    <w:rsid w:val="00E53F09"/>
    <w:rsid w:val="00ED382E"/>
    <w:rsid w:val="00F922EC"/>
    <w:rsid w:val="00FA1B8D"/>
    <w:rsid w:val="00FA5574"/>
    <w:rsid w:val="040F6FE6"/>
    <w:rsid w:val="079B7ACF"/>
    <w:rsid w:val="07EA6A6D"/>
    <w:rsid w:val="0C9F1A21"/>
    <w:rsid w:val="117B20AB"/>
    <w:rsid w:val="125C019D"/>
    <w:rsid w:val="12EF539D"/>
    <w:rsid w:val="198F55BE"/>
    <w:rsid w:val="20045E15"/>
    <w:rsid w:val="210654C2"/>
    <w:rsid w:val="295312A9"/>
    <w:rsid w:val="2975419D"/>
    <w:rsid w:val="2A5A4CD2"/>
    <w:rsid w:val="2B1E0CAF"/>
    <w:rsid w:val="2BDF3E80"/>
    <w:rsid w:val="2D5D5813"/>
    <w:rsid w:val="306C20F1"/>
    <w:rsid w:val="39AB0045"/>
    <w:rsid w:val="3D2F0480"/>
    <w:rsid w:val="43D6135A"/>
    <w:rsid w:val="4A6543E1"/>
    <w:rsid w:val="547048A0"/>
    <w:rsid w:val="54C431A7"/>
    <w:rsid w:val="5A380EF0"/>
    <w:rsid w:val="5F800204"/>
    <w:rsid w:val="62643460"/>
    <w:rsid w:val="66EA1297"/>
    <w:rsid w:val="75746330"/>
    <w:rsid w:val="77910638"/>
    <w:rsid w:val="7A2A5A9B"/>
    <w:rsid w:val="7FC817B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nhideWhenUsed="0" w:uiPriority="9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5"/>
    <w:basedOn w:val="1"/>
    <w:qFormat/>
    <w:locked/>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Heading 1 Char"/>
    <w:basedOn w:val="9"/>
    <w:link w:val="2"/>
    <w:autoRedefine/>
    <w:qFormat/>
    <w:locked/>
    <w:uiPriority w:val="99"/>
    <w:rPr>
      <w:rFonts w:ascii="宋体" w:hAnsi="宋体" w:eastAsia="宋体" w:cs="宋体"/>
      <w:b/>
      <w:bCs/>
      <w:kern w:val="36"/>
      <w:sz w:val="48"/>
      <w:szCs w:val="48"/>
    </w:rPr>
  </w:style>
  <w:style w:type="character" w:customStyle="1" w:styleId="11">
    <w:name w:val="Header Char"/>
    <w:basedOn w:val="9"/>
    <w:link w:val="6"/>
    <w:autoRedefine/>
    <w:qFormat/>
    <w:locked/>
    <w:uiPriority w:val="99"/>
    <w:rPr>
      <w:sz w:val="18"/>
      <w:szCs w:val="18"/>
    </w:rPr>
  </w:style>
  <w:style w:type="character" w:customStyle="1" w:styleId="12">
    <w:name w:val="Footer Char"/>
    <w:basedOn w:val="9"/>
    <w:link w:val="5"/>
    <w:autoRedefine/>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3883</Words>
  <Characters>3925</Characters>
  <Lines>0</Lines>
  <Paragraphs>0</Paragraphs>
  <TotalTime>16</TotalTime>
  <ScaleCrop>false</ScaleCrop>
  <LinksUpToDate>false</LinksUpToDate>
  <CharactersWithSpaces>4016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2016-06-14T03:24:00Z</dcterms:created>
  <dc:creator>cqb</dc:creator>
  <cp:lastModifiedBy>傅山</cp:lastModifiedBy>
  <cp:lastPrinted>2024-10-24T07:05:05Z</cp:lastPrinted>
  <dcterms:modified xsi:type="dcterms:W3CDTF">2024-10-24T07:06:58Z</dcterms:modified>
  <dc:title>粤建院〔2016〕64号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41A952BBC07249F7B02E70F885310238_13</vt:lpwstr>
  </property>
</Properties>
</file>